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414"/>
        <w:gridCol w:w="1450"/>
        <w:gridCol w:w="414"/>
        <w:gridCol w:w="1015"/>
        <w:gridCol w:w="1960"/>
        <w:gridCol w:w="1583"/>
        <w:gridCol w:w="1645"/>
        <w:gridCol w:w="911"/>
      </w:tblGrid>
      <w:tr w:rsidR="00000000" w:rsidRPr="00860732" w14:paraId="148BB56D" w14:textId="77777777">
        <w:trPr>
          <w:divId w:val="799496947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362A006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</w:rPr>
              <w:t>1.</w:t>
            </w:r>
          </w:p>
        </w:tc>
        <w:tc>
          <w:tcPr>
            <w:tcW w:w="48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A1F047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</w:rPr>
              <w:t>EMITENTNING NOMI</w:t>
            </w:r>
          </w:p>
        </w:tc>
      </w:tr>
      <w:tr w:rsidR="00000000" w:rsidRPr="00860732" w14:paraId="7FD0BC54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E413" w14:textId="77777777" w:rsidR="00000000" w:rsidRPr="00860732" w:rsidRDefault="0023587C">
            <w:pPr>
              <w:rPr>
                <w:sz w:val="20"/>
                <w:szCs w:val="20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297FB3" w14:textId="77777777" w:rsidR="00000000" w:rsidRPr="00860732" w:rsidRDefault="0023587C">
            <w:pPr>
              <w:ind w:firstLine="44"/>
              <w:rPr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sz w:val="20"/>
                <w:szCs w:val="20"/>
              </w:rPr>
              <w:t>To‘liq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  <w:r w:rsidRPr="0086073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814C4DA" w14:textId="77777777" w:rsidR="00000000" w:rsidRPr="00860732" w:rsidRDefault="0023587C">
            <w:pPr>
              <w:ind w:firstLine="44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Poytaxt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Bank”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aksiyadorlik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jamiyati</w:t>
            </w:r>
            <w:proofErr w:type="spellEnd"/>
          </w:p>
        </w:tc>
      </w:tr>
      <w:tr w:rsidR="00000000" w:rsidRPr="00860732" w14:paraId="71FFD636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DA41" w14:textId="77777777" w:rsidR="00000000" w:rsidRPr="00860732" w:rsidRDefault="0023587C">
            <w:pPr>
              <w:rPr>
                <w:sz w:val="20"/>
                <w:szCs w:val="20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22AD47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Qisqartirilgan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55E6970" w14:textId="77777777" w:rsidR="00000000" w:rsidRPr="00860732" w:rsidRDefault="0023587C">
            <w:pPr>
              <w:ind w:firstLine="44"/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Poytaxt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Bank” AJ</w:t>
            </w:r>
          </w:p>
        </w:tc>
      </w:tr>
      <w:tr w:rsidR="00000000" w:rsidRPr="00860732" w14:paraId="67821CE3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BE5D" w14:textId="77777777" w:rsidR="00000000" w:rsidRPr="00860732" w:rsidRDefault="0023587C">
            <w:pPr>
              <w:rPr>
                <w:sz w:val="20"/>
                <w:szCs w:val="20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98F398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Birja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tikerining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nomi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  <w:hyperlink r:id="rId4" w:history="1">
              <w:r w:rsidRPr="00860732">
                <w:rPr>
                  <w:rStyle w:val="a3"/>
                  <w:color w:val="008080"/>
                  <w:sz w:val="20"/>
                  <w:szCs w:val="20"/>
                  <w:u w:val="none"/>
                </w:rPr>
                <w:t>*</w:t>
              </w:r>
            </w:hyperlink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2C5C0CC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  <w:lang w:val="en-US"/>
              </w:rPr>
              <w:t>-</w:t>
            </w:r>
          </w:p>
        </w:tc>
      </w:tr>
      <w:tr w:rsidR="00000000" w:rsidRPr="00860732" w14:paraId="146BF698" w14:textId="77777777">
        <w:trPr>
          <w:divId w:val="799496947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59B14F3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</w:rPr>
              <w:t>2.</w:t>
            </w:r>
          </w:p>
        </w:tc>
        <w:tc>
          <w:tcPr>
            <w:tcW w:w="48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7F51A5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</w:rPr>
              <w:t>ALOQA MA’LUMOTLARI</w:t>
            </w:r>
          </w:p>
        </w:tc>
      </w:tr>
      <w:tr w:rsidR="00000000" w:rsidRPr="00860732" w14:paraId="785EFFCB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DBEB" w14:textId="77777777" w:rsidR="00000000" w:rsidRPr="00860732" w:rsidRDefault="0023587C">
            <w:pPr>
              <w:rPr>
                <w:sz w:val="20"/>
                <w:szCs w:val="20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0490C7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Joylashgan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yeri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132E3EE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  <w:lang w:val="en-US"/>
              </w:rPr>
              <w:t xml:space="preserve">Toshkent sh.,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Chilonzor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tumani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Islom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Karimov </w:t>
            </w:r>
            <w:proofErr w:type="spellStart"/>
            <w:proofErr w:type="gramStart"/>
            <w:r w:rsidRPr="00860732">
              <w:rPr>
                <w:sz w:val="20"/>
                <w:szCs w:val="20"/>
                <w:lang w:val="en-US"/>
              </w:rPr>
              <w:t>ko‘</w:t>
            </w:r>
            <w:proofErr w:type="gramEnd"/>
            <w:r w:rsidRPr="00860732">
              <w:rPr>
                <w:sz w:val="20"/>
                <w:szCs w:val="20"/>
                <w:lang w:val="en-US"/>
              </w:rPr>
              <w:t>chasi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>, 55-uy</w:t>
            </w:r>
          </w:p>
        </w:tc>
      </w:tr>
      <w:tr w:rsidR="00000000" w:rsidRPr="00860732" w14:paraId="559B65B6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19E3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55FF24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Pochta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manzili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529F4A7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  <w:lang w:val="en-US"/>
              </w:rPr>
              <w:t xml:space="preserve">100063, Toshkent sh.,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Chilonzor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tumani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Islom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Karimov </w:t>
            </w:r>
            <w:proofErr w:type="spellStart"/>
            <w:proofErr w:type="gramStart"/>
            <w:r w:rsidRPr="00860732">
              <w:rPr>
                <w:sz w:val="20"/>
                <w:szCs w:val="20"/>
                <w:lang w:val="en-US"/>
              </w:rPr>
              <w:t>ko‘</w:t>
            </w:r>
            <w:proofErr w:type="gramEnd"/>
            <w:r w:rsidRPr="00860732">
              <w:rPr>
                <w:sz w:val="20"/>
                <w:szCs w:val="20"/>
                <w:lang w:val="en-US"/>
              </w:rPr>
              <w:t>chasi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>, 55-uy</w:t>
            </w:r>
          </w:p>
        </w:tc>
      </w:tr>
      <w:tr w:rsidR="00000000" w:rsidRPr="00860732" w14:paraId="73A2062C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D60D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B58FE2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Elektron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pochta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manzili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  <w:hyperlink r:id="rId5" w:history="1">
              <w:r w:rsidRPr="00860732">
                <w:rPr>
                  <w:rStyle w:val="a3"/>
                  <w:color w:val="008080"/>
                  <w:sz w:val="20"/>
                  <w:szCs w:val="20"/>
                  <w:u w:val="none"/>
                </w:rPr>
                <w:t>*</w:t>
              </w:r>
            </w:hyperlink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55D9ECE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hyperlink r:id="rId6" w:history="1">
              <w:r w:rsidRPr="00860732">
                <w:rPr>
                  <w:rStyle w:val="a3"/>
                  <w:sz w:val="20"/>
                  <w:szCs w:val="20"/>
                  <w:lang w:val="en-US"/>
                </w:rPr>
                <w:t>info@poytaxtbank.uz</w:t>
              </w:r>
            </w:hyperlink>
            <w:r w:rsidRPr="00860732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00000" w:rsidRPr="00860732" w14:paraId="1CFA452B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AED0" w14:textId="77777777" w:rsidR="00000000" w:rsidRPr="00860732" w:rsidRDefault="0023587C">
            <w:pPr>
              <w:rPr>
                <w:sz w:val="20"/>
                <w:szCs w:val="20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E61989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Rasmiy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veb-sayti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  <w:hyperlink r:id="rId7" w:history="1">
              <w:r w:rsidRPr="00860732">
                <w:rPr>
                  <w:rStyle w:val="a3"/>
                  <w:color w:val="008080"/>
                  <w:sz w:val="20"/>
                  <w:szCs w:val="20"/>
                  <w:u w:val="none"/>
                </w:rPr>
                <w:t>*</w:t>
              </w:r>
            </w:hyperlink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E6E6A8B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hyperlink r:id="rId8" w:history="1">
              <w:r w:rsidRPr="00860732">
                <w:rPr>
                  <w:rStyle w:val="a3"/>
                  <w:sz w:val="20"/>
                  <w:szCs w:val="20"/>
                </w:rPr>
                <w:t>poytaxtbank.uz</w:t>
              </w:r>
            </w:hyperlink>
          </w:p>
        </w:tc>
      </w:tr>
      <w:tr w:rsidR="00000000" w:rsidRPr="00860732" w14:paraId="3EDADF8A" w14:textId="77777777">
        <w:trPr>
          <w:divId w:val="799496947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83C4109" w14:textId="77777777" w:rsidR="00000000" w:rsidRPr="00860732" w:rsidRDefault="0023587C">
            <w:pPr>
              <w:jc w:val="center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48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97DBDF" w14:textId="77777777" w:rsidR="00000000" w:rsidRPr="00860732" w:rsidRDefault="0023587C">
            <w:pPr>
              <w:jc w:val="center"/>
              <w:rPr>
                <w:sz w:val="20"/>
                <w:szCs w:val="20"/>
                <w:lang w:val="en-US"/>
              </w:rPr>
            </w:pPr>
            <w:r w:rsidRPr="00860732">
              <w:rPr>
                <w:b/>
                <w:bCs/>
                <w:sz w:val="20"/>
                <w:szCs w:val="20"/>
                <w:lang w:val="en-US"/>
              </w:rPr>
              <w:t>MUH</w:t>
            </w:r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IM FAKT </w:t>
            </w:r>
            <w:proofErr w:type="gramStart"/>
            <w:r w:rsidRPr="00860732">
              <w:rPr>
                <w:b/>
                <w:bCs/>
                <w:sz w:val="20"/>
                <w:szCs w:val="20"/>
                <w:lang w:val="en-US"/>
              </w:rPr>
              <w:t>TO‘</w:t>
            </w:r>
            <w:proofErr w:type="gramEnd"/>
            <w:r w:rsidRPr="00860732">
              <w:rPr>
                <w:b/>
                <w:bCs/>
                <w:sz w:val="20"/>
                <w:szCs w:val="20"/>
                <w:lang w:val="en-US"/>
              </w:rPr>
              <w:t>G‘RISIDA AXBOROT</w:t>
            </w:r>
          </w:p>
        </w:tc>
      </w:tr>
      <w:tr w:rsidR="00000000" w:rsidRPr="00860732" w14:paraId="5E7E171B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8FB1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9B5BFB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Muhim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faktning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raqami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D248E90" w14:textId="77777777" w:rsidR="00000000" w:rsidRPr="00860732" w:rsidRDefault="0023587C">
            <w:pPr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</w:rPr>
              <w:t>06</w:t>
            </w:r>
          </w:p>
        </w:tc>
      </w:tr>
      <w:tr w:rsidR="00000000" w:rsidRPr="00860732" w14:paraId="46363BE5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5D1F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8640D5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Muhim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faktning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nomi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4720BAA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sz w:val="20"/>
                <w:szCs w:val="20"/>
                <w:lang w:val="en-US"/>
              </w:rPr>
              <w:t>Emitentning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yuqori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boshqaruv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organi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tomonidan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qabul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qilingan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qarorlar</w:t>
            </w:r>
            <w:proofErr w:type="spellEnd"/>
          </w:p>
        </w:tc>
      </w:tr>
      <w:tr w:rsidR="00000000" w:rsidRPr="00860732" w14:paraId="6D2A63CD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9071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460722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Umumiy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yig‘ilish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turi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E8C7326" w14:textId="77777777" w:rsidR="00000000" w:rsidRPr="00860732" w:rsidRDefault="0023587C">
            <w:pPr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  <w:lang w:val="en-US"/>
              </w:rPr>
              <w:t>Kuzatuv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kengashining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qarori</w:t>
            </w:r>
            <w:proofErr w:type="spellEnd"/>
          </w:p>
        </w:tc>
      </w:tr>
      <w:tr w:rsidR="00000000" w:rsidRPr="00860732" w14:paraId="42693BCC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9800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FA76" w14:textId="77777777" w:rsidR="00000000" w:rsidRPr="00860732" w:rsidRDefault="0023587C">
            <w:pPr>
              <w:rPr>
                <w:sz w:val="20"/>
                <w:szCs w:val="20"/>
              </w:rPr>
            </w:pP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5D75F20" w14:textId="77777777" w:rsidR="00000000" w:rsidRPr="00860732" w:rsidRDefault="0023587C">
            <w:pPr>
              <w:rPr>
                <w:sz w:val="20"/>
                <w:szCs w:val="20"/>
              </w:rPr>
            </w:pPr>
          </w:p>
        </w:tc>
      </w:tr>
      <w:tr w:rsidR="00000000" w:rsidRPr="00860732" w14:paraId="47EF460D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CD89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04E519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sz w:val="20"/>
                <w:szCs w:val="20"/>
                <w:lang w:val="en-US"/>
              </w:rPr>
              <w:t>Umumiy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60732">
              <w:rPr>
                <w:sz w:val="20"/>
                <w:szCs w:val="20"/>
                <w:lang w:val="en-US"/>
              </w:rPr>
              <w:t>yig‘</w:t>
            </w:r>
            <w:proofErr w:type="gramEnd"/>
            <w:r w:rsidRPr="00860732">
              <w:rPr>
                <w:sz w:val="20"/>
                <w:szCs w:val="20"/>
                <w:lang w:val="en-US"/>
              </w:rPr>
              <w:t>ilish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o‘tkazish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sanasi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AD5D23E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  <w:lang w:val="en-US"/>
              </w:rPr>
              <w:t>28.08.2025</w:t>
            </w:r>
          </w:p>
        </w:tc>
      </w:tr>
      <w:tr w:rsidR="00000000" w:rsidRPr="00860732" w14:paraId="74503740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3D09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B553B7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sz w:val="20"/>
                <w:szCs w:val="20"/>
                <w:lang w:val="en-US"/>
              </w:rPr>
              <w:t>Umumiy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60732">
              <w:rPr>
                <w:sz w:val="20"/>
                <w:szCs w:val="20"/>
                <w:lang w:val="en-US"/>
              </w:rPr>
              <w:t>yig‘</w:t>
            </w:r>
            <w:proofErr w:type="gramEnd"/>
            <w:r w:rsidRPr="00860732">
              <w:rPr>
                <w:sz w:val="20"/>
                <w:szCs w:val="20"/>
                <w:lang w:val="en-US"/>
              </w:rPr>
              <w:t>ilish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bayonnomasi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tuzilgan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sana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0597E54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  <w:lang w:val="en-US"/>
              </w:rPr>
              <w:t>28.08.2025</w:t>
            </w:r>
          </w:p>
        </w:tc>
      </w:tr>
      <w:tr w:rsidR="00000000" w:rsidRPr="00860732" w14:paraId="08A63834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12E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226029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sz w:val="20"/>
                <w:szCs w:val="20"/>
                <w:lang w:val="en-US"/>
              </w:rPr>
              <w:t>Umumiy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60732">
              <w:rPr>
                <w:sz w:val="20"/>
                <w:szCs w:val="20"/>
                <w:lang w:val="en-US"/>
              </w:rPr>
              <w:t>yig‘</w:t>
            </w:r>
            <w:proofErr w:type="gramEnd"/>
            <w:r w:rsidRPr="00860732">
              <w:rPr>
                <w:sz w:val="20"/>
                <w:szCs w:val="20"/>
                <w:lang w:val="en-US"/>
              </w:rPr>
              <w:t>ilish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o‘tkazilgan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joy: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ECFE58C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  <w:lang w:val="en-US"/>
              </w:rPr>
              <w:t>Toshkent sh.</w:t>
            </w:r>
          </w:p>
        </w:tc>
      </w:tr>
      <w:tr w:rsidR="00000000" w:rsidRPr="00860732" w14:paraId="4ACD51BD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DE9B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56D798" w14:textId="77777777" w:rsidR="00000000" w:rsidRPr="00860732" w:rsidRDefault="0023587C">
            <w:pPr>
              <w:ind w:firstLine="45"/>
              <w:rPr>
                <w:sz w:val="20"/>
                <w:szCs w:val="20"/>
              </w:rPr>
            </w:pPr>
            <w:proofErr w:type="spellStart"/>
            <w:r w:rsidRPr="00860732">
              <w:rPr>
                <w:sz w:val="20"/>
                <w:szCs w:val="20"/>
              </w:rPr>
              <w:t>Umumiy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yig‘ilish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kvorumi</w:t>
            </w:r>
            <w:proofErr w:type="spellEnd"/>
            <w:r w:rsidRPr="00860732">
              <w:rPr>
                <w:sz w:val="20"/>
                <w:szCs w:val="20"/>
              </w:rPr>
              <w:t>: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999C2A6" w14:textId="77777777" w:rsidR="00000000" w:rsidRPr="00860732" w:rsidRDefault="0023587C">
            <w:pPr>
              <w:ind w:firstLine="45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  <w:lang w:val="en-US"/>
              </w:rPr>
              <w:t>100%</w:t>
            </w:r>
          </w:p>
        </w:tc>
      </w:tr>
      <w:tr w:rsidR="00000000" w:rsidRPr="00860732" w14:paraId="5B8FA34D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AE08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B231BC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2AE86A" w14:textId="77777777" w:rsidR="00000000" w:rsidRPr="00860732" w:rsidRDefault="0023587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Ovoz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berishga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60732">
              <w:rPr>
                <w:b/>
                <w:bCs/>
                <w:sz w:val="20"/>
                <w:szCs w:val="20"/>
                <w:lang w:val="en-US"/>
              </w:rPr>
              <w:t>qo‘</w:t>
            </w:r>
            <w:proofErr w:type="gramEnd"/>
            <w:r w:rsidRPr="00860732">
              <w:rPr>
                <w:b/>
                <w:bCs/>
                <w:sz w:val="20"/>
                <w:szCs w:val="20"/>
                <w:lang w:val="en-US"/>
              </w:rPr>
              <w:t>yilgan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masalalar</w:t>
            </w:r>
            <w:proofErr w:type="spellEnd"/>
          </w:p>
        </w:tc>
        <w:tc>
          <w:tcPr>
            <w:tcW w:w="39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B2312A9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proofErr w:type="spellStart"/>
            <w:r w:rsidRPr="00860732">
              <w:rPr>
                <w:b/>
                <w:bCs/>
                <w:sz w:val="20"/>
                <w:szCs w:val="20"/>
              </w:rPr>
              <w:t>Ovoz</w:t>
            </w:r>
            <w:proofErr w:type="spellEnd"/>
            <w:r w:rsidRPr="0086073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</w:rPr>
              <w:t>berish</w:t>
            </w:r>
            <w:proofErr w:type="spellEnd"/>
            <w:r w:rsidRPr="0086073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</w:rPr>
              <w:t>yakunlari</w:t>
            </w:r>
            <w:proofErr w:type="spellEnd"/>
          </w:p>
        </w:tc>
      </w:tr>
      <w:tr w:rsidR="00000000" w:rsidRPr="00860732" w14:paraId="71FC0BC8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ACDF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B012" w14:textId="77777777" w:rsidR="00000000" w:rsidRPr="00860732" w:rsidRDefault="00235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59D6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5C24287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proofErr w:type="spellStart"/>
            <w:r w:rsidRPr="00860732">
              <w:rPr>
                <w:b/>
                <w:bCs/>
                <w:sz w:val="20"/>
                <w:szCs w:val="20"/>
              </w:rPr>
              <w:t>yoqlash</w:t>
            </w:r>
            <w:proofErr w:type="spellEnd"/>
          </w:p>
        </w:tc>
        <w:tc>
          <w:tcPr>
            <w:tcW w:w="1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87F2270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proofErr w:type="spellStart"/>
            <w:r w:rsidRPr="00860732">
              <w:rPr>
                <w:b/>
                <w:bCs/>
                <w:sz w:val="20"/>
                <w:szCs w:val="20"/>
              </w:rPr>
              <w:t>qarshi</w:t>
            </w:r>
            <w:proofErr w:type="spellEnd"/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0590406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proofErr w:type="spellStart"/>
            <w:r w:rsidRPr="00860732">
              <w:rPr>
                <w:b/>
                <w:bCs/>
                <w:sz w:val="20"/>
                <w:szCs w:val="20"/>
              </w:rPr>
              <w:t>betaraflar</w:t>
            </w:r>
            <w:proofErr w:type="spellEnd"/>
          </w:p>
        </w:tc>
      </w:tr>
      <w:tr w:rsidR="00000000" w:rsidRPr="00860732" w14:paraId="66D0977E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DAEF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04FA" w14:textId="77777777" w:rsidR="00000000" w:rsidRPr="00860732" w:rsidRDefault="002358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1ED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EFDB965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6BE51E6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proofErr w:type="spellStart"/>
            <w:r w:rsidRPr="00860732">
              <w:rPr>
                <w:b/>
                <w:bCs/>
                <w:sz w:val="20"/>
                <w:szCs w:val="20"/>
              </w:rPr>
              <w:t>soni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58C836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5896B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proofErr w:type="spellStart"/>
            <w:r w:rsidRPr="00860732">
              <w:rPr>
                <w:b/>
                <w:bCs/>
                <w:sz w:val="20"/>
                <w:szCs w:val="20"/>
              </w:rPr>
              <w:t>soni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275CADB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F3E623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proofErr w:type="spellStart"/>
            <w:r w:rsidRPr="00860732">
              <w:rPr>
                <w:b/>
                <w:bCs/>
                <w:sz w:val="20"/>
                <w:szCs w:val="20"/>
              </w:rPr>
              <w:t>soni</w:t>
            </w:r>
            <w:proofErr w:type="spellEnd"/>
          </w:p>
        </w:tc>
      </w:tr>
      <w:tr w:rsidR="00000000" w:rsidRPr="00860732" w14:paraId="354F82D8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A140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470459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</w:rPr>
              <w:t>1.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E739E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</w:rPr>
              <w:t>“</w:t>
            </w:r>
            <w:proofErr w:type="spellStart"/>
            <w:r w:rsidRPr="00860732">
              <w:rPr>
                <w:sz w:val="20"/>
                <w:szCs w:val="20"/>
              </w:rPr>
              <w:t>Poytaxt</w:t>
            </w:r>
            <w:proofErr w:type="spellEnd"/>
            <w:r w:rsidRPr="00860732">
              <w:rPr>
                <w:sz w:val="20"/>
                <w:szCs w:val="20"/>
              </w:rPr>
              <w:t xml:space="preserve"> Bank” </w:t>
            </w:r>
            <w:proofErr w:type="spellStart"/>
            <w:r w:rsidRPr="00860732">
              <w:rPr>
                <w:sz w:val="20"/>
                <w:szCs w:val="20"/>
              </w:rPr>
              <w:t>AJning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ustav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kapitalini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qoʻshimcha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aksiyalar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chiqarilishi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yoʻli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bilan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koʻpaytirish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toʻgʻrisida</w:t>
            </w:r>
            <w:proofErr w:type="spellEnd"/>
            <w:r w:rsidRPr="00860732">
              <w:rPr>
                <w:sz w:val="20"/>
                <w:szCs w:val="20"/>
              </w:rPr>
              <w:t>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5176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0FE646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01CD11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4E383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C38E65E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DEA6C74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000000" w:rsidRPr="00860732" w14:paraId="0AB183D9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771A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50A18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</w:rPr>
              <w:t>2.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9118E6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</w:rPr>
              <w:t>“</w:t>
            </w:r>
            <w:proofErr w:type="spellStart"/>
            <w:r w:rsidRPr="00860732">
              <w:rPr>
                <w:sz w:val="20"/>
                <w:szCs w:val="20"/>
              </w:rPr>
              <w:t>Poytaxt</w:t>
            </w:r>
            <w:proofErr w:type="spellEnd"/>
            <w:r w:rsidRPr="00860732">
              <w:rPr>
                <w:sz w:val="20"/>
                <w:szCs w:val="20"/>
              </w:rPr>
              <w:t xml:space="preserve"> Bank” </w:t>
            </w:r>
            <w:proofErr w:type="spellStart"/>
            <w:r w:rsidRPr="00860732">
              <w:rPr>
                <w:sz w:val="20"/>
                <w:szCs w:val="20"/>
              </w:rPr>
              <w:t>AJning</w:t>
            </w:r>
            <w:proofErr w:type="spellEnd"/>
            <w:r w:rsidRPr="00860732">
              <w:rPr>
                <w:sz w:val="20"/>
                <w:szCs w:val="20"/>
              </w:rPr>
              <w:t xml:space="preserve"> “</w:t>
            </w:r>
            <w:proofErr w:type="spellStart"/>
            <w:r w:rsidRPr="00860732">
              <w:rPr>
                <w:sz w:val="20"/>
                <w:szCs w:val="20"/>
              </w:rPr>
              <w:t>Qoʻshimcha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aksiyalar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chiqarilishi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toʻgʻrisidagi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qaror”ni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tasdiqlash</w:t>
            </w:r>
            <w:proofErr w:type="spellEnd"/>
            <w:r w:rsidRPr="00860732">
              <w:rPr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</w:rPr>
              <w:t>toʻgʻrisida</w:t>
            </w:r>
            <w:proofErr w:type="spellEnd"/>
            <w:r w:rsidRPr="00860732">
              <w:rPr>
                <w:sz w:val="20"/>
                <w:szCs w:val="20"/>
              </w:rPr>
              <w:t>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53C1E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9041CF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398628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C6BD8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A2229F7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BB0DA3F" w14:textId="77777777" w:rsidR="00000000" w:rsidRPr="00860732" w:rsidRDefault="002358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000000" w:rsidRPr="00860732" w14:paraId="73B5BE7E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D0F5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2C1886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sz w:val="20"/>
                <w:szCs w:val="20"/>
                <w:lang w:val="en-US"/>
              </w:rPr>
              <w:t>Umumiy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60732">
              <w:rPr>
                <w:sz w:val="20"/>
                <w:szCs w:val="20"/>
                <w:lang w:val="en-US"/>
              </w:rPr>
              <w:t>yig‘</w:t>
            </w:r>
            <w:proofErr w:type="gramEnd"/>
            <w:r w:rsidRPr="00860732">
              <w:rPr>
                <w:sz w:val="20"/>
                <w:szCs w:val="20"/>
                <w:lang w:val="en-US"/>
              </w:rPr>
              <w:t>ilish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tomonidan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qabul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qilingan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qarorlarning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to‘liq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sz w:val="20"/>
                <w:szCs w:val="20"/>
                <w:lang w:val="en-US"/>
              </w:rPr>
              <w:t>bayoni</w:t>
            </w:r>
            <w:proofErr w:type="spellEnd"/>
            <w:r w:rsidRPr="00860732">
              <w:rPr>
                <w:sz w:val="20"/>
                <w:szCs w:val="20"/>
                <w:lang w:val="en-US"/>
              </w:rPr>
              <w:t>:</w:t>
            </w:r>
          </w:p>
        </w:tc>
      </w:tr>
      <w:tr w:rsidR="00000000" w:rsidRPr="00860732" w14:paraId="2704FD08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E49B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3D975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</w:rPr>
              <w:t>1.</w:t>
            </w:r>
          </w:p>
        </w:tc>
        <w:tc>
          <w:tcPr>
            <w:tcW w:w="4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A64D4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  <w:r w:rsidRPr="00860732">
              <w:rPr>
                <w:rFonts w:eastAsia="Times New Roman"/>
                <w:sz w:val="20"/>
                <w:szCs w:val="20"/>
              </w:rPr>
              <w:t>“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Poytaxt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Bank” AJ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tomonidan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qoʻshimcha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ravishda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nominal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qiymati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1 000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soʻm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boʻlgan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400 000 000 (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to‘rt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yuz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million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)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dona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umumiy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qiymati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400 000 000 000 (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to‘rt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yuz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milliard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)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soʻmlik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egasining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nomi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yozilgan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oddiy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</w:rPr>
              <w:t>chiqarilsin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>.</w:t>
            </w:r>
          </w:p>
          <w:p w14:paraId="5E5ACE4A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Bank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tomonidan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qoʻshimcha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chiqarilayotgan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muddati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va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shartlari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quyidagi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belgilansin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  <w:p w14:paraId="5CA8CC57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joylashtirilishining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usuli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ochiq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yoki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yopiq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obuna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):</w:t>
            </w:r>
          </w:p>
          <w:p w14:paraId="52B40F2E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bankning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yagona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aksiyadori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“Bond Investment Limited” LLC (BAA)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kompaniyasiga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yopiq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obuna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usulida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qonunchilik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oʻrnatilgan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joylashtiriladi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. </w:t>
            </w:r>
          </w:p>
          <w:p w14:paraId="60B72EED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joylashtirilishining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muddati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  <w:p w14:paraId="6E90246B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davlat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roʻyxatiga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olingan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kundan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boshlab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  <w:p w14:paraId="2AD21369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1 (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bir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yil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davomida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joylashtiriladi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583F6468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joylashtirishni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boshlash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sanasi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mazkur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ksiyalarning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davlat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roʻyxatidan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oʻtkazilgan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kun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12FBCBA4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lastRenderedPageBreak/>
              <w:t>Aksiyalarni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joylashtirishni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tugatish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sanasi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mazkur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soʻnggi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aksiyasi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joylashtirilgan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kun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Biroq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joylashtirishni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tugatish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sanasi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mazkur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davlat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roʻyxatig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olingan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kundan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boshlab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365 (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uch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yuz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oltmish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besh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kundan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oshmasligi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lozim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.  </w:t>
            </w:r>
          </w:p>
          <w:p w14:paraId="60C00E98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joylashtirilishining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  <w:p w14:paraId="42FCCA04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qo‘</w:t>
            </w:r>
            <w:proofErr w:type="gramEnd"/>
            <w:r w:rsidRPr="00860732">
              <w:rPr>
                <w:rFonts w:eastAsia="Times New Roman"/>
                <w:sz w:val="20"/>
                <w:szCs w:val="20"/>
                <w:lang w:val="en-US"/>
              </w:rPr>
              <w:t>shimcha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chiqarilayotgan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qonunchilikda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belgilangan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qimmatli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qog‘ozlar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savdosining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tashki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lotchisining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savdo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maydonchasida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qimmatli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qog‘ozlar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bilan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savdo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o‘tkazish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qoidalariga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muvofiq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bitimlar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tuzish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orqali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bank yagona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aksiyadori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“Bond Investment Limited” LLC ga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joylashtiriladi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. </w:t>
            </w:r>
          </w:p>
          <w:p w14:paraId="76DECB66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Bank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tomonidan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mustaqil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ravishda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qonunchilikda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belgilangan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amalga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oshiriladi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5C2E00FD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uchun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anderrayterlar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jalb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qilinmaydi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6BE8CA57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joylashtirilayotgan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olishga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boʻlgan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imtiyozli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huquqni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amalga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oshirish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  <w:p w14:paraId="5CA7630A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Mazkur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siyalarni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joylashtirishda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imtiyozli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huquq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koʻzda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tutilmagan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1C8F6528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bahosi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baholari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yoki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bahosini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belgilash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  <w:p w14:paraId="44285FEF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Qoʻshimcha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chiqarilayotgan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1 000 (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bir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soʻmdan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joylashtiriladi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5BF53AB3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toʻlash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shartlari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va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  <w:p w14:paraId="69D9CDED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uchun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toʻlovlar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bankning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hisob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raqamiga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milliy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valyutada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naqdsiz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shakldagi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pul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mablagʻlarini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oʻtkazish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yoʻli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orqali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amalga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oshiriladi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63BDE253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Bank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rekvizitlari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  <w:p w14:paraId="06A07335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Poytaxt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Bank”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AJning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Amaliyot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boshqarmasi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54705EB1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His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ob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raqami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: 29830000700001172002.</w:t>
            </w:r>
          </w:p>
          <w:p w14:paraId="75ED8D1B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MFO: 01172. </w:t>
            </w:r>
          </w:p>
          <w:p w14:paraId="354B38B9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STIR: 207290120.</w:t>
            </w:r>
          </w:p>
          <w:p w14:paraId="21CBEB0C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Mazkur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amalga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oshmagan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deb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topilgan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taqdirda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ushbu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toʻloviga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yoʻnaltirilgan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mablagʻlar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qonunchilikda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belgilangan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amalga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oshmagan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deb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topilgan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kun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dan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boshlab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, 10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kun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davomida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qaytariladi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</w:tr>
      <w:tr w:rsidR="00000000" w:rsidRPr="00860732" w14:paraId="35E95F1D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F54D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E32D6" w14:textId="77777777" w:rsidR="00000000" w:rsidRPr="00860732" w:rsidRDefault="0023587C">
            <w:pPr>
              <w:jc w:val="center"/>
              <w:rPr>
                <w:sz w:val="20"/>
                <w:szCs w:val="20"/>
                <w:lang w:val="en-US"/>
              </w:rPr>
            </w:pPr>
            <w:r w:rsidRPr="00860732">
              <w:rPr>
                <w:sz w:val="20"/>
                <w:szCs w:val="20"/>
              </w:rPr>
              <w:t>2.</w:t>
            </w:r>
            <w:r w:rsidRPr="0086073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E1077F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Poytaxt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Bank”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AJning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Qoʻshimcha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toʻgʻrisidagi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qaror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tasdiqlansin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</w:tr>
      <w:tr w:rsidR="00000000" w:rsidRPr="00860732" w14:paraId="6C85F6A0" w14:textId="77777777">
        <w:trPr>
          <w:divId w:val="799496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BC6B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332963" w14:textId="77777777" w:rsidR="00000000" w:rsidRPr="00860732" w:rsidRDefault="0023587C">
            <w:pPr>
              <w:jc w:val="center"/>
              <w:rPr>
                <w:sz w:val="20"/>
                <w:szCs w:val="20"/>
              </w:rPr>
            </w:pPr>
            <w:r w:rsidRPr="00860732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4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7B6F8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Bankning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 “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Qo</w:t>
            </w:r>
            <w:r w:rsidRPr="00860732">
              <w:rPr>
                <w:rFonts w:eastAsia="Times New Roman"/>
                <w:sz w:val="20"/>
                <w:szCs w:val="20"/>
              </w:rPr>
              <w:t>ʻ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shimcha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aksiyalar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chiqarilishi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to</w:t>
            </w:r>
            <w:r w:rsidRPr="00860732">
              <w:rPr>
                <w:rFonts w:eastAsia="Times New Roman"/>
                <w:sz w:val="20"/>
                <w:szCs w:val="20"/>
              </w:rPr>
              <w:t>ʻ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g</w:t>
            </w:r>
            <w:r w:rsidRPr="00860732">
              <w:rPr>
                <w:rFonts w:eastAsia="Times New Roman"/>
                <w:sz w:val="20"/>
                <w:szCs w:val="20"/>
              </w:rPr>
              <w:t>ʻ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risidagi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qaror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 xml:space="preserve">”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belgilangan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tartibda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davlat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ro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>ʻ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yxatidan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o</w:t>
            </w:r>
            <w:r w:rsidRPr="00860732">
              <w:rPr>
                <w:rFonts w:eastAsia="Times New Roman"/>
                <w:sz w:val="20"/>
                <w:szCs w:val="20"/>
              </w:rPr>
              <w:t>ʻ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tkazish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bank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Boshqaruv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raisi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v</w:t>
            </w:r>
            <w:r w:rsidRPr="00860732">
              <w:rPr>
                <w:rFonts w:eastAsia="Times New Roman"/>
                <w:sz w:val="20"/>
                <w:szCs w:val="20"/>
              </w:rPr>
              <w:t>.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v</w:t>
            </w:r>
            <w:r w:rsidRPr="00860732">
              <w:rPr>
                <w:rFonts w:eastAsia="Times New Roman"/>
                <w:sz w:val="20"/>
                <w:szCs w:val="20"/>
              </w:rPr>
              <w:t>.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860732">
              <w:rPr>
                <w:rFonts w:eastAsia="Times New Roman"/>
                <w:sz w:val="20"/>
                <w:szCs w:val="20"/>
              </w:rPr>
              <w:t xml:space="preserve">. 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A</w:t>
            </w:r>
            <w:r w:rsidRPr="00860732">
              <w:rPr>
                <w:rFonts w:eastAsia="Times New Roman"/>
                <w:sz w:val="20"/>
                <w:szCs w:val="20"/>
              </w:rPr>
              <w:t>.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>K</w:t>
            </w:r>
            <w:r w:rsidRPr="00860732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Turgunov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zimmasiga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yuklatilsin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>.</w:t>
            </w:r>
          </w:p>
          <w:p w14:paraId="50C3399C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Mazkur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qaror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ijrosini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nazorat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qilishni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o</w:t>
            </w:r>
            <w:r w:rsidRPr="00860732">
              <w:rPr>
                <w:rFonts w:eastAsia="Times New Roman"/>
                <w:sz w:val="20"/>
                <w:szCs w:val="20"/>
              </w:rPr>
              <w:t>ʻ</w:t>
            </w:r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z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zimmamda</w:t>
            </w:r>
            <w:proofErr w:type="spellEnd"/>
            <w:r w:rsidRPr="0086073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rFonts w:eastAsia="Times New Roman"/>
                <w:sz w:val="20"/>
                <w:szCs w:val="20"/>
                <w:lang w:val="en-US"/>
              </w:rPr>
              <w:t>qoldiraman</w:t>
            </w:r>
            <w:proofErr w:type="spellEnd"/>
            <w:r w:rsidRPr="00860732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000000" w:rsidRPr="00860732" w14:paraId="1DE5023C" w14:textId="77777777">
        <w:trPr>
          <w:divId w:val="79949694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5359F9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  <w:p w14:paraId="1AAF9D6B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  <w:p w14:paraId="5E36E44A" w14:textId="77777777" w:rsidR="00000000" w:rsidRPr="00860732" w:rsidRDefault="0023587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0E397" w14:textId="77777777" w:rsidR="00000000" w:rsidRPr="00860732" w:rsidRDefault="002358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62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80999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00000" w:rsidRPr="00860732" w14:paraId="16484B39" w14:textId="77777777">
        <w:trPr>
          <w:divId w:val="799496947"/>
        </w:trPr>
        <w:tc>
          <w:tcPr>
            <w:tcW w:w="12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936E7E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02C88B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43E35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635C8F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2A39B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AB39FD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C8018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A2AE2C0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49A4E9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860732" w14:paraId="71B4FF8F" w14:textId="77777777">
        <w:trPr>
          <w:divId w:val="799496947"/>
        </w:trPr>
        <w:tc>
          <w:tcPr>
            <w:tcW w:w="0" w:type="auto"/>
            <w:vMerge/>
            <w:vAlign w:val="center"/>
            <w:hideMark/>
          </w:tcPr>
          <w:p w14:paraId="6E7A959B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CA5B95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286222" w14:textId="77777777" w:rsidR="00000000" w:rsidRPr="00860732" w:rsidRDefault="0023587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Bank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Boshqaruvi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raisi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v.v.b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>.:</w:t>
            </w:r>
          </w:p>
        </w:tc>
        <w:tc>
          <w:tcPr>
            <w:tcW w:w="5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4987B2" w14:textId="77777777" w:rsidR="00000000" w:rsidRPr="00860732" w:rsidRDefault="0023587C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78D3C" w14:textId="77777777" w:rsidR="00000000" w:rsidRPr="00860732" w:rsidRDefault="0023587C">
            <w:pPr>
              <w:rPr>
                <w:b/>
                <w:bCs/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1327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E21FAE8" w14:textId="77777777" w:rsidR="00000000" w:rsidRPr="00860732" w:rsidRDefault="0023587C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  <w:p w14:paraId="38A37464" w14:textId="77777777" w:rsidR="00000000" w:rsidRPr="00860732" w:rsidRDefault="0023587C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60732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A.K. </w:t>
            </w:r>
            <w:proofErr w:type="spellStart"/>
            <w:r w:rsidRPr="00860732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Turgunov</w:t>
            </w:r>
            <w:proofErr w:type="spellEnd"/>
          </w:p>
        </w:tc>
      </w:tr>
      <w:tr w:rsidR="00000000" w:rsidRPr="00860732" w14:paraId="47078B83" w14:textId="77777777">
        <w:trPr>
          <w:divId w:val="799496947"/>
        </w:trPr>
        <w:tc>
          <w:tcPr>
            <w:tcW w:w="0" w:type="auto"/>
            <w:vMerge/>
            <w:vAlign w:val="center"/>
            <w:hideMark/>
          </w:tcPr>
          <w:p w14:paraId="47BD0BFB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817FEA" w14:textId="77777777" w:rsidR="00000000" w:rsidRPr="00860732" w:rsidRDefault="0023587C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1504C9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653F27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34947B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204E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12036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22D8339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0FDFBF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860732" w14:paraId="6751A74F" w14:textId="77777777">
        <w:trPr>
          <w:divId w:val="799496947"/>
        </w:trPr>
        <w:tc>
          <w:tcPr>
            <w:tcW w:w="0" w:type="auto"/>
            <w:vMerge/>
            <w:vAlign w:val="center"/>
            <w:hideMark/>
          </w:tcPr>
          <w:p w14:paraId="077FF45D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E4A1B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FDE219" w14:textId="77777777" w:rsidR="00000000" w:rsidRPr="00860732" w:rsidRDefault="0023587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Bosh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buxgalter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F.I.Sh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>.:</w:t>
            </w:r>
          </w:p>
        </w:tc>
        <w:tc>
          <w:tcPr>
            <w:tcW w:w="5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7AF52" w14:textId="77777777" w:rsidR="00000000" w:rsidRPr="00860732" w:rsidRDefault="0023587C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DDF9C" w14:textId="77777777" w:rsidR="00000000" w:rsidRPr="00860732" w:rsidRDefault="0023587C">
            <w:pPr>
              <w:rPr>
                <w:b/>
                <w:bCs/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1327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7286993" w14:textId="77777777" w:rsidR="00000000" w:rsidRPr="00860732" w:rsidRDefault="0023587C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466D04B" w14:textId="77777777" w:rsidR="00000000" w:rsidRPr="00860732" w:rsidRDefault="0023587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  <w:lang w:val="en-US"/>
              </w:rPr>
              <w:t>A.A. Abdullayev</w:t>
            </w:r>
          </w:p>
        </w:tc>
      </w:tr>
      <w:tr w:rsidR="00000000" w:rsidRPr="00860732" w14:paraId="3AC9E619" w14:textId="77777777">
        <w:trPr>
          <w:divId w:val="799496947"/>
        </w:trPr>
        <w:tc>
          <w:tcPr>
            <w:tcW w:w="0" w:type="auto"/>
            <w:vMerge/>
            <w:vAlign w:val="center"/>
            <w:hideMark/>
          </w:tcPr>
          <w:p w14:paraId="428C6847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938D2" w14:textId="77777777" w:rsidR="00000000" w:rsidRPr="00860732" w:rsidRDefault="0023587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59FA3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DA17C4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CE953D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403999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E86E9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DBA7ACD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05E25D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860732" w14:paraId="64BE7B14" w14:textId="77777777">
        <w:trPr>
          <w:divId w:val="799496947"/>
        </w:trPr>
        <w:tc>
          <w:tcPr>
            <w:tcW w:w="0" w:type="auto"/>
            <w:vMerge/>
            <w:vAlign w:val="center"/>
            <w:hideMark/>
          </w:tcPr>
          <w:p w14:paraId="6E8D1E87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D90BE4" w14:textId="77777777" w:rsidR="00000000" w:rsidRPr="00860732" w:rsidRDefault="002358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AA0491" w14:textId="77777777" w:rsidR="00000000" w:rsidRPr="00860732" w:rsidRDefault="0023587C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Veb-saytda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axborot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joylashtirgan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vakolatli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732">
              <w:rPr>
                <w:b/>
                <w:bCs/>
                <w:sz w:val="20"/>
                <w:szCs w:val="20"/>
                <w:lang w:val="en-US"/>
              </w:rPr>
              <w:t>shaxs</w:t>
            </w:r>
            <w:proofErr w:type="spellEnd"/>
            <w:r w:rsidRPr="00860732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7E073D" w14:textId="77777777" w:rsidR="00000000" w:rsidRPr="00860732" w:rsidRDefault="0023587C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8A3D4" w14:textId="77777777" w:rsidR="00000000" w:rsidRPr="00860732" w:rsidRDefault="0023587C">
            <w:pPr>
              <w:rPr>
                <w:b/>
                <w:bCs/>
                <w:sz w:val="20"/>
                <w:szCs w:val="20"/>
              </w:rPr>
            </w:pPr>
            <w:r w:rsidRPr="00860732">
              <w:rPr>
                <w:b/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13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1A873" w14:textId="77777777" w:rsidR="00000000" w:rsidRPr="00860732" w:rsidRDefault="0023587C">
            <w:pPr>
              <w:rPr>
                <w:b/>
                <w:bCs/>
                <w:sz w:val="20"/>
                <w:szCs w:val="20"/>
              </w:rPr>
            </w:pPr>
          </w:p>
          <w:p w14:paraId="2408129B" w14:textId="77777777" w:rsidR="00000000" w:rsidRPr="00860732" w:rsidRDefault="0023587C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860732">
              <w:rPr>
                <w:b/>
                <w:bCs/>
                <w:sz w:val="20"/>
                <w:szCs w:val="20"/>
                <w:lang w:val="en-US"/>
              </w:rPr>
              <w:t>J.A. Saipov</w:t>
            </w:r>
          </w:p>
        </w:tc>
      </w:tr>
    </w:tbl>
    <w:p w14:paraId="7A84A5FF" w14:textId="77777777" w:rsidR="0023587C" w:rsidRPr="00860732" w:rsidRDefault="0023587C">
      <w:pPr>
        <w:shd w:val="clear" w:color="auto" w:fill="FFFFFF"/>
        <w:ind w:firstLine="851"/>
        <w:jc w:val="both"/>
        <w:divId w:val="799496947"/>
        <w:rPr>
          <w:rFonts w:eastAsia="Times New Roman"/>
          <w:color w:val="339966"/>
          <w:sz w:val="20"/>
          <w:szCs w:val="20"/>
          <w:lang w:val="en-US"/>
        </w:rPr>
      </w:pPr>
    </w:p>
    <w:sectPr w:rsidR="0023587C" w:rsidRPr="00860732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32"/>
    <w:rsid w:val="0023587C"/>
    <w:rsid w:val="0086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36386"/>
  <w15:chartTrackingRefBased/>
  <w15:docId w15:val="{2B37BD51-95FC-49C0-88C1-466B30C1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uiPriority w:val="99"/>
    <w:semiHidden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uiPriority w:val="99"/>
    <w:semiHidden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uiPriority w:val="99"/>
    <w:semiHidden/>
    <w:pPr>
      <w:spacing w:after="240"/>
      <w:jc w:val="center"/>
    </w:pPr>
  </w:style>
  <w:style w:type="paragraph" w:customStyle="1" w:styleId="iorrn">
    <w:name w:val="iorrn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uiPriority w:val="99"/>
    <w:semiHidden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uiPriority w:val="99"/>
    <w:semiHidden/>
    <w:pPr>
      <w:spacing w:before="100" w:beforeAutospacing="1" w:after="100" w:afterAutospacing="1"/>
    </w:pPr>
  </w:style>
  <w:style w:type="paragraph" w:customStyle="1" w:styleId="clausesuff">
    <w:name w:val="clausesuff"/>
    <w:basedOn w:val="a"/>
    <w:uiPriority w:val="99"/>
    <w:semiHidden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uiPriority w:val="99"/>
    <w:semiHidden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uiPriority w:val="99"/>
    <w:semiHidden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uiPriority w:val="99"/>
    <w:semiHidden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uiPriority w:val="99"/>
    <w:semiHidden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uiPriority w:val="99"/>
    <w:semiHidden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uiPriority w:val="99"/>
    <w:semiHidden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uiPriority w:val="99"/>
    <w:semiHidden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uiPriority w:val="99"/>
    <w:semiHidden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uiPriority w:val="99"/>
    <w:semiHidden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uiPriority w:val="99"/>
    <w:semiHidden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uiPriority w:val="99"/>
    <w:semiHidden/>
    <w:pPr>
      <w:jc w:val="both"/>
    </w:pPr>
    <w:rPr>
      <w:color w:val="000000"/>
    </w:rPr>
  </w:style>
  <w:style w:type="paragraph" w:customStyle="1" w:styleId="changesorigins">
    <w:name w:val="changes_origins"/>
    <w:basedOn w:val="a"/>
    <w:uiPriority w:val="99"/>
    <w:semiHidden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uiPriority w:val="99"/>
    <w:semiHidden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uiPriority w:val="99"/>
    <w:semiHidden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uiPriority w:val="99"/>
    <w:semiHidden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uiPriority w:val="99"/>
    <w:semiHidden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uiPriority w:val="99"/>
    <w:semiHidden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uiPriority w:val="99"/>
    <w:semiHidden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uiPriority w:val="99"/>
    <w:semiHidden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uiPriority w:val="99"/>
    <w:semiHidden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uiPriority w:val="99"/>
    <w:semiHidden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uiPriority w:val="99"/>
    <w:semiHidden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uiPriority w:val="99"/>
    <w:semiHidden/>
    <w:pPr>
      <w:spacing w:before="60" w:after="60"/>
      <w:ind w:left="150" w:right="150"/>
      <w:jc w:val="both"/>
    </w:pPr>
  </w:style>
  <w:style w:type="paragraph" w:customStyle="1" w:styleId="signaturestamptext">
    <w:name w:val="signature_stamp_text"/>
    <w:basedOn w:val="a"/>
    <w:uiPriority w:val="99"/>
    <w:semiHidden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uiPriority w:val="99"/>
    <w:semiHidden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uiPriority w:val="99"/>
    <w:semiHidden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uiPriority w:val="99"/>
    <w:semiHidden/>
    <w:pPr>
      <w:spacing w:after="60"/>
    </w:pPr>
    <w:rPr>
      <w:color w:val="000080"/>
    </w:rPr>
  </w:style>
  <w:style w:type="paragraph" w:customStyle="1" w:styleId="text30left">
    <w:name w:val="text_30_left"/>
    <w:basedOn w:val="a"/>
    <w:uiPriority w:val="99"/>
    <w:semiHidden/>
    <w:pPr>
      <w:spacing w:after="60"/>
    </w:pPr>
    <w:rPr>
      <w:color w:val="000080"/>
    </w:rPr>
  </w:style>
  <w:style w:type="paragraph" w:customStyle="1" w:styleId="textbold">
    <w:name w:val="text_bold"/>
    <w:basedOn w:val="a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uiPriority w:val="99"/>
    <w:semiHidden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uiPriority w:val="99"/>
    <w:semiHidden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uiPriority w:val="99"/>
    <w:semiHidden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uiPriority w:val="99"/>
    <w:semiHidden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uiPriority w:val="99"/>
    <w:semiHidden/>
    <w:pPr>
      <w:spacing w:after="60"/>
      <w:jc w:val="right"/>
    </w:pPr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694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ytaxtbank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-3080137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ytaxtbank.uz" TargetMode="External"/><Relationship Id="rId5" Type="http://schemas.openxmlformats.org/officeDocument/2006/relationships/hyperlink" Target="javascript:scrollText(-3080137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-3080137)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2383 31.07.2012</dc:title>
  <dc:subject/>
  <dc:creator>Saipov Jamshid</dc:creator>
  <cp:keywords/>
  <dc:description/>
  <cp:lastModifiedBy>Saipov Jamshid</cp:lastModifiedBy>
  <cp:revision>2</cp:revision>
  <cp:lastPrinted>2025-09-02T11:59:00Z</cp:lastPrinted>
  <dcterms:created xsi:type="dcterms:W3CDTF">2025-09-03T04:29:00Z</dcterms:created>
  <dcterms:modified xsi:type="dcterms:W3CDTF">2025-09-03T04:29:00Z</dcterms:modified>
</cp:coreProperties>
</file>